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57" w:rsidRPr="00EA7870" w:rsidRDefault="00103257" w:rsidP="00103257">
      <w:pPr>
        <w:spacing w:line="480" w:lineRule="auto"/>
        <w:jc w:val="both"/>
        <w:rPr>
          <w:b/>
          <w:bCs/>
        </w:rPr>
      </w:pPr>
      <w:r w:rsidRPr="00EA7870">
        <w:rPr>
          <w:b/>
          <w:bCs/>
        </w:rPr>
        <w:t>ABSTRACT</w:t>
      </w:r>
    </w:p>
    <w:p w:rsidR="00103257" w:rsidRPr="002E418A" w:rsidRDefault="00103257" w:rsidP="00103257">
      <w:pPr>
        <w:autoSpaceDE w:val="0"/>
        <w:autoSpaceDN w:val="0"/>
        <w:adjustRightInd w:val="0"/>
        <w:spacing w:line="480" w:lineRule="auto"/>
        <w:jc w:val="both"/>
        <w:rPr>
          <w:rFonts w:ascii="Times New Roman PS" w:hAnsi="Times New Roman PS" w:cs="Times New Roman PS"/>
          <w:color w:val="FF0000"/>
        </w:rPr>
      </w:pPr>
      <w:r w:rsidRPr="005B501D">
        <w:rPr>
          <w:rFonts w:ascii="Times New Roman PS" w:hAnsi="Times New Roman PS" w:cs="Times New Roman PS"/>
        </w:rPr>
        <w:t>Nowadays, diabetes and its complication as organs inflammation are important public health problems in all countries. Market limitations of drugs with dual actions as anti-inflammatory and anti-diabetic have been led to a temptation for focusing on the dis</w:t>
      </w:r>
      <w:r w:rsidRPr="005B501D">
        <w:rPr>
          <w:rFonts w:ascii="Times New Roman PS" w:hAnsi="Times New Roman PS" w:cs="Times New Roman PS"/>
        </w:rPr>
        <w:softHyphen/>
        <w:t>covery and development of new compounds with potential anti-inflammatory and anti-diabetic activities.</w:t>
      </w:r>
      <w:r w:rsidRPr="002E418A">
        <w:rPr>
          <w:rFonts w:ascii="Times New Roman PS" w:hAnsi="Times New Roman PS" w:cs="Times New Roman PS"/>
          <w:color w:val="FF0000"/>
        </w:rPr>
        <w:t xml:space="preserve"> </w:t>
      </w:r>
      <w:r w:rsidRPr="005B501D">
        <w:rPr>
          <w:rFonts w:ascii="Times New Roman PS" w:hAnsi="Times New Roman PS" w:cs="Times New Roman PS"/>
        </w:rPr>
        <w:t xml:space="preserve">Herein, </w:t>
      </w:r>
      <w:r>
        <w:rPr>
          <w:rFonts w:ascii="Times New Roman PS" w:hAnsi="Times New Roman PS" w:cs="Times New Roman PS"/>
        </w:rPr>
        <w:t xml:space="preserve">we synthesized </w:t>
      </w:r>
      <w:r w:rsidRPr="005B501D">
        <w:rPr>
          <w:rFonts w:ascii="Times New Roman PS" w:hAnsi="Times New Roman PS" w:cs="Times New Roman PS"/>
        </w:rPr>
        <w:t xml:space="preserve">two new series containing pyrazole ring with vicinal diaryl rings as selective COX-2 </w:t>
      </w:r>
      <w:r>
        <w:rPr>
          <w:rFonts w:ascii="Times New Roman PS" w:hAnsi="Times New Roman PS" w:cs="Times New Roman PS"/>
        </w:rPr>
        <w:t xml:space="preserve">moiety </w:t>
      </w:r>
      <w:r w:rsidRPr="005B501D">
        <w:rPr>
          <w:rFonts w:ascii="Times New Roman PS" w:hAnsi="Times New Roman PS" w:cs="Times New Roman PS"/>
        </w:rPr>
        <w:t xml:space="preserve">and thiazolidinedione </w:t>
      </w:r>
      <w:r>
        <w:rPr>
          <w:rFonts w:ascii="Times New Roman PS" w:hAnsi="Times New Roman PS" w:cs="Times New Roman PS"/>
        </w:rPr>
        <w:t xml:space="preserve">(series </w:t>
      </w:r>
      <w:r w:rsidRPr="005B501D">
        <w:rPr>
          <w:rFonts w:ascii="Times New Roman PS" w:hAnsi="Times New Roman PS" w:cs="Times New Roman PS"/>
          <w:b/>
          <w:bCs/>
        </w:rPr>
        <w:t>12a-f</w:t>
      </w:r>
      <w:r>
        <w:rPr>
          <w:rFonts w:ascii="Times New Roman PS" w:hAnsi="Times New Roman PS" w:cs="Times New Roman PS"/>
          <w:b/>
          <w:bCs/>
        </w:rPr>
        <w:t>)</w:t>
      </w:r>
      <w:r w:rsidRPr="005B501D">
        <w:rPr>
          <w:rFonts w:ascii="Times New Roman PS" w:hAnsi="Times New Roman PS" w:cs="Times New Roman PS"/>
        </w:rPr>
        <w:t xml:space="preserve"> or thiazolidinone </w:t>
      </w:r>
      <w:r>
        <w:rPr>
          <w:rFonts w:ascii="Times New Roman PS" w:hAnsi="Times New Roman PS" w:cs="Times New Roman PS"/>
        </w:rPr>
        <w:t xml:space="preserve">(series </w:t>
      </w:r>
      <w:r w:rsidRPr="005B501D">
        <w:rPr>
          <w:rFonts w:ascii="Times New Roman PS" w:hAnsi="Times New Roman PS" w:cs="Times New Roman PS"/>
          <w:b/>
          <w:bCs/>
        </w:rPr>
        <w:t>13a-f</w:t>
      </w:r>
      <w:r>
        <w:rPr>
          <w:rFonts w:ascii="Times New Roman PS" w:hAnsi="Times New Roman PS" w:cs="Times New Roman PS"/>
          <w:b/>
          <w:bCs/>
        </w:rPr>
        <w:t>)</w:t>
      </w:r>
      <w:r w:rsidRPr="005B501D">
        <w:rPr>
          <w:rFonts w:ascii="Times New Roman PS" w:hAnsi="Times New Roman PS" w:cs="Times New Roman PS"/>
        </w:rPr>
        <w:t xml:space="preserve"> as anti-diabetic </w:t>
      </w:r>
      <w:r>
        <w:rPr>
          <w:rFonts w:ascii="Times New Roman PS" w:hAnsi="Times New Roman PS" w:cs="Times New Roman PS"/>
        </w:rPr>
        <w:t>moiety and the two moieties were</w:t>
      </w:r>
      <w:r w:rsidRPr="005B501D">
        <w:rPr>
          <w:rFonts w:ascii="Times New Roman PS" w:hAnsi="Times New Roman PS" w:cs="Times New Roman PS"/>
        </w:rPr>
        <w:t xml:space="preserve"> linked </w:t>
      </w:r>
      <w:r>
        <w:rPr>
          <w:rFonts w:ascii="Times New Roman PS" w:hAnsi="Times New Roman PS" w:cs="Times New Roman PS"/>
        </w:rPr>
        <w:t>together</w:t>
      </w:r>
      <w:r w:rsidRPr="005B501D">
        <w:rPr>
          <w:rFonts w:ascii="Times New Roman PS" w:hAnsi="Times New Roman PS" w:cs="Times New Roman PS"/>
        </w:rPr>
        <w:t xml:space="preserve"> with methylene or methylene</w:t>
      </w:r>
      <w:r>
        <w:rPr>
          <w:rFonts w:ascii="Times New Roman PS" w:hAnsi="Times New Roman PS" w:cs="Times New Roman PS"/>
        </w:rPr>
        <w:t>hydrazone functionality</w:t>
      </w:r>
      <w:r w:rsidRPr="005B501D">
        <w:rPr>
          <w:rFonts w:ascii="Times New Roman PS" w:hAnsi="Times New Roman PS" w:cs="Times New Roman PS"/>
        </w:rPr>
        <w:t>.</w:t>
      </w:r>
      <w:r w:rsidRPr="002E418A">
        <w:rPr>
          <w:rFonts w:ascii="Times New Roman PS" w:hAnsi="Times New Roman PS" w:cs="Times New Roman PS"/>
          <w:color w:val="FF0000"/>
        </w:rPr>
        <w:t xml:space="preserve"> </w:t>
      </w:r>
      <w:r w:rsidRPr="00FD3C9C">
        <w:rPr>
          <w:rFonts w:ascii="Times New Roman PS" w:hAnsi="Times New Roman PS" w:cs="Times New Roman PS"/>
        </w:rPr>
        <w:t xml:space="preserve">The two series were evaluated for their COX inhibition, anti-inflammatory activity and ulcerogenic liability while for the anti-diabetic activity; </w:t>
      </w:r>
      <w:r w:rsidRPr="00FD3C9C">
        <w:rPr>
          <w:rFonts w:ascii="Times New Roman PS" w:hAnsi="Times New Roman PS" w:cs="Times New Roman PS"/>
          <w:b/>
          <w:bCs/>
        </w:rPr>
        <w:t>12a-f</w:t>
      </w:r>
      <w:r w:rsidRPr="00FD3C9C">
        <w:rPr>
          <w:rFonts w:ascii="Times New Roman PS" w:hAnsi="Times New Roman PS" w:cs="Times New Roman PS"/>
        </w:rPr>
        <w:t xml:space="preserve"> and </w:t>
      </w:r>
      <w:r w:rsidRPr="00FD3C9C">
        <w:rPr>
          <w:rFonts w:ascii="Times New Roman PS" w:hAnsi="Times New Roman PS" w:cs="Times New Roman PS"/>
          <w:b/>
          <w:bCs/>
        </w:rPr>
        <w:t>13a-f</w:t>
      </w:r>
      <w:r w:rsidRPr="00FD3C9C">
        <w:rPr>
          <w:rFonts w:ascii="Times New Roman PS" w:hAnsi="Times New Roman PS" w:cs="Times New Roman PS"/>
        </w:rPr>
        <w:t xml:space="preserve"> were assessed </w:t>
      </w:r>
      <w:r w:rsidRPr="00FD3C9C">
        <w:rPr>
          <w:rFonts w:ascii="Times New Roman PS" w:hAnsi="Times New Roman PS" w:cs="Times New Roman PS"/>
          <w:i/>
          <w:iCs/>
        </w:rPr>
        <w:t>in vitro</w:t>
      </w:r>
      <w:r w:rsidRPr="00FD3C9C">
        <w:rPr>
          <w:rFonts w:ascii="Times New Roman PS" w:hAnsi="Times New Roman PS" w:cs="Times New Roman PS"/>
        </w:rPr>
        <w:t xml:space="preserve"> against </w:t>
      </w:r>
      <w:r w:rsidRPr="00FD3C9C">
        <w:t>α</w:t>
      </w:r>
      <w:r>
        <w:rPr>
          <w:rFonts w:ascii="Times New Roman PS" w:hAnsi="Times New Roman PS" w:cs="Times New Roman PS"/>
        </w:rPr>
        <w:t>-glucosidase</w:t>
      </w:r>
      <w:r w:rsidRPr="00FD3C9C">
        <w:rPr>
          <w:rFonts w:ascii="Times New Roman PS" w:hAnsi="Times New Roman PS" w:cs="Times New Roman PS"/>
        </w:rPr>
        <w:t>, β- glucosidase</w:t>
      </w:r>
      <w:r>
        <w:rPr>
          <w:rFonts w:ascii="Times New Roman PS" w:hAnsi="Times New Roman PS" w:cs="Times New Roman PS"/>
        </w:rPr>
        <w:t xml:space="preserve">, </w:t>
      </w:r>
      <w:r>
        <w:rPr>
          <w:rFonts w:ascii="Times New Roman PS" w:hAnsi="Times New Roman PS" w:cs="Times New Roman PS"/>
          <w:i/>
          <w:iCs/>
        </w:rPr>
        <w:t>i</w:t>
      </w:r>
      <w:r w:rsidRPr="00FD3C9C">
        <w:rPr>
          <w:rFonts w:ascii="Times New Roman PS" w:hAnsi="Times New Roman PS" w:cs="Times New Roman PS"/>
          <w:i/>
          <w:iCs/>
        </w:rPr>
        <w:t>n vivo</w:t>
      </w:r>
      <w:r w:rsidRPr="00FD3C9C">
        <w:rPr>
          <w:rFonts w:ascii="Times New Roman PS" w:hAnsi="Times New Roman PS" w:cs="Times New Roman PS"/>
        </w:rPr>
        <w:t xml:space="preserve"> hypoglycemic activity (one day and 15 days studies) in addition to </w:t>
      </w:r>
      <w:r w:rsidRPr="00FD3C9C">
        <w:t>PPARγ activation study.</w:t>
      </w:r>
      <w:r w:rsidRPr="002E418A">
        <w:rPr>
          <w:color w:val="FF0000"/>
        </w:rPr>
        <w:t xml:space="preserve"> </w:t>
      </w:r>
      <w:r>
        <w:t>Four compounds</w:t>
      </w:r>
      <w:r w:rsidRPr="00A723DF">
        <w:rPr>
          <w:lang w:bidi="ar-EG"/>
        </w:rPr>
        <w:t xml:space="preserve"> (</w:t>
      </w:r>
      <w:r w:rsidRPr="00A723DF">
        <w:rPr>
          <w:b/>
          <w:bCs/>
          <w:lang w:bidi="ar-EG"/>
        </w:rPr>
        <w:t>12c</w:t>
      </w:r>
      <w:r w:rsidRPr="00A723DF">
        <w:rPr>
          <w:lang w:bidi="ar-EG"/>
        </w:rPr>
        <w:t xml:space="preserve">, </w:t>
      </w:r>
      <w:r w:rsidRPr="00A723DF">
        <w:rPr>
          <w:b/>
          <w:bCs/>
          <w:lang w:bidi="ar-EG"/>
        </w:rPr>
        <w:t>12f</w:t>
      </w:r>
      <w:r w:rsidRPr="00A723DF">
        <w:rPr>
          <w:lang w:bidi="ar-EG"/>
        </w:rPr>
        <w:t>,</w:t>
      </w:r>
      <w:r w:rsidRPr="00A723DF">
        <w:rPr>
          <w:b/>
          <w:bCs/>
          <w:lang w:bidi="ar-EG"/>
        </w:rPr>
        <w:t xml:space="preserve"> 13b </w:t>
      </w:r>
      <w:r w:rsidRPr="00A723DF">
        <w:rPr>
          <w:lang w:bidi="ar-EG"/>
        </w:rPr>
        <w:t xml:space="preserve">and </w:t>
      </w:r>
      <w:r w:rsidRPr="00A723DF">
        <w:rPr>
          <w:b/>
          <w:bCs/>
          <w:lang w:bidi="ar-EG"/>
        </w:rPr>
        <w:t>13f</w:t>
      </w:r>
      <w:r w:rsidRPr="00A723DF">
        <w:t>) had higher COX-2 S.I. (</w:t>
      </w:r>
      <w:r w:rsidRPr="00A723DF">
        <w:rPr>
          <w:lang w:bidi="ar-EG"/>
        </w:rPr>
        <w:t xml:space="preserve">8.69 – 9.26) </w:t>
      </w:r>
      <w:r w:rsidRPr="00A723DF">
        <w:t xml:space="preserve">than the COX-2 selective drug celecoxib </w:t>
      </w:r>
      <w:r w:rsidRPr="00A723DF">
        <w:rPr>
          <w:lang w:bidi="ar-EG"/>
        </w:rPr>
        <w:t>(</w:t>
      </w:r>
      <w:r w:rsidRPr="00A723DF">
        <w:t xml:space="preserve">COX-2 S.I. = </w:t>
      </w:r>
      <w:r w:rsidRPr="00A723DF">
        <w:rPr>
          <w:lang w:bidi="ar-EG"/>
        </w:rPr>
        <w:t>8.60</w:t>
      </w:r>
      <w:r>
        <w:rPr>
          <w:lang w:bidi="ar-EG"/>
        </w:rPr>
        <w:t>) and</w:t>
      </w:r>
      <w:r w:rsidRPr="00732310">
        <w:rPr>
          <w:lang w:bidi="ar-EG"/>
        </w:rPr>
        <w:t xml:space="preserve"> showed the highest AI activities and the lowest ulcerogenicity than other derivatives</w:t>
      </w:r>
      <w:r>
        <w:t>.</w:t>
      </w:r>
      <w:r w:rsidRPr="00F8720C">
        <w:rPr>
          <w:color w:val="FF0000"/>
        </w:rPr>
        <w:t xml:space="preserve"> </w:t>
      </w:r>
      <w:r w:rsidRPr="00545231">
        <w:t>Also,</w:t>
      </w:r>
      <w:r>
        <w:rPr>
          <w:color w:val="FF0000"/>
        </w:rPr>
        <w:t xml:space="preserve"> </w:t>
      </w:r>
      <w:r>
        <w:rPr>
          <w:lang w:bidi="ar-EG"/>
        </w:rPr>
        <w:t xml:space="preserve">two thiazolidinedione derivatives </w:t>
      </w:r>
      <w:r w:rsidRPr="004F3C8C">
        <w:rPr>
          <w:b/>
          <w:bCs/>
          <w:lang w:bidi="ar-EG"/>
        </w:rPr>
        <w:t>12e</w:t>
      </w:r>
      <w:r>
        <w:rPr>
          <w:lang w:bidi="ar-EG"/>
        </w:rPr>
        <w:t xml:space="preserve"> and </w:t>
      </w:r>
      <w:r w:rsidRPr="004F3C8C">
        <w:rPr>
          <w:b/>
          <w:bCs/>
          <w:lang w:bidi="ar-EG"/>
        </w:rPr>
        <w:t xml:space="preserve">12f </w:t>
      </w:r>
      <w:r w:rsidRPr="00000F8E">
        <w:rPr>
          <w:lang w:bidi="ar-EG"/>
        </w:rPr>
        <w:t>and two</w:t>
      </w:r>
      <w:r>
        <w:rPr>
          <w:b/>
          <w:bCs/>
          <w:lang w:bidi="ar-EG"/>
        </w:rPr>
        <w:t xml:space="preserve"> </w:t>
      </w:r>
      <w:r>
        <w:rPr>
          <w:lang w:bidi="ar-EG"/>
        </w:rPr>
        <w:t xml:space="preserve">thiazolidinone derivatives </w:t>
      </w:r>
      <w:r w:rsidRPr="004F3C8C">
        <w:rPr>
          <w:b/>
          <w:bCs/>
          <w:lang w:bidi="ar-EG"/>
        </w:rPr>
        <w:t>1</w:t>
      </w:r>
      <w:r>
        <w:rPr>
          <w:b/>
          <w:bCs/>
          <w:lang w:bidi="ar-EG"/>
        </w:rPr>
        <w:t>3b</w:t>
      </w:r>
      <w:r>
        <w:rPr>
          <w:lang w:bidi="ar-EG"/>
        </w:rPr>
        <w:t xml:space="preserve"> and </w:t>
      </w:r>
      <w:r w:rsidRPr="004F3C8C">
        <w:rPr>
          <w:b/>
          <w:bCs/>
          <w:lang w:bidi="ar-EG"/>
        </w:rPr>
        <w:t>1</w:t>
      </w:r>
      <w:r>
        <w:rPr>
          <w:b/>
          <w:bCs/>
          <w:lang w:bidi="ar-EG"/>
        </w:rPr>
        <w:t xml:space="preserve">3c </w:t>
      </w:r>
      <w:r w:rsidRPr="00BD726E">
        <w:rPr>
          <w:lang w:bidi="ar-EG"/>
        </w:rPr>
        <w:t>showed</w:t>
      </w:r>
      <w:r>
        <w:rPr>
          <w:lang w:bidi="ar-EG"/>
        </w:rPr>
        <w:t xml:space="preserve"> higher </w:t>
      </w:r>
      <w:r>
        <w:rPr>
          <w:lang w:val="en-CA" w:eastAsia="en-CA"/>
        </w:rPr>
        <w:t xml:space="preserve">inhibitory activities against </w:t>
      </w:r>
      <w:r w:rsidRPr="002E418A">
        <w:rPr>
          <w:rFonts w:eastAsia="FreeSerif"/>
          <w:i/>
          <w:iCs/>
        </w:rPr>
        <w:t xml:space="preserve">α- </w:t>
      </w:r>
      <w:r w:rsidRPr="002E418A">
        <w:rPr>
          <w:rFonts w:eastAsia="FreeSerif"/>
        </w:rPr>
        <w:t>and</w:t>
      </w:r>
      <w:r w:rsidRPr="002E418A">
        <w:rPr>
          <w:rFonts w:eastAsia="FreeSerif"/>
          <w:i/>
          <w:iCs/>
        </w:rPr>
        <w:t xml:space="preserve"> β-</w:t>
      </w:r>
      <w:r w:rsidRPr="002E418A">
        <w:rPr>
          <w:rFonts w:eastAsia="FreeSerif"/>
        </w:rPr>
        <w:t>glucosidase</w:t>
      </w:r>
      <w:r>
        <w:rPr>
          <w:rFonts w:eastAsia="FreeSerif"/>
        </w:rPr>
        <w:t xml:space="preserve"> </w:t>
      </w:r>
      <w:r>
        <w:rPr>
          <w:lang w:val="en-CA" w:eastAsia="en-CA"/>
        </w:rPr>
        <w:t xml:space="preserve"> (% inhibitory activity</w:t>
      </w:r>
      <w:r w:rsidRPr="00D72568">
        <w:t xml:space="preserve"> = </w:t>
      </w:r>
      <w:r>
        <w:t xml:space="preserve">62.15, 55.30, 65.37, 59.08 for </w:t>
      </w:r>
      <w:r w:rsidRPr="0018368C">
        <w:t>α</w:t>
      </w:r>
      <w:r w:rsidRPr="00364417">
        <w:t>-glucosidase</w:t>
      </w:r>
      <w:r>
        <w:t xml:space="preserve"> and 57.42, 60.07, 58.19, 66.90 for </w:t>
      </w:r>
      <w:r w:rsidRPr="00364417">
        <w:t>β-glucosidase</w:t>
      </w:r>
      <w:r>
        <w:t xml:space="preserve"> respectively) </w:t>
      </w:r>
      <w:r>
        <w:rPr>
          <w:lang w:val="en-CA" w:eastAsia="en-CA"/>
        </w:rPr>
        <w:t>than reference compounds (acarbose  with % inhibitory activity</w:t>
      </w:r>
      <w:r w:rsidRPr="00D72568">
        <w:t xml:space="preserve"> =</w:t>
      </w:r>
      <w:r>
        <w:t xml:space="preserve"> 49.50 </w:t>
      </w:r>
      <w:r>
        <w:rPr>
          <w:lang w:val="en-CA" w:eastAsia="en-CA"/>
        </w:rPr>
        <w:t xml:space="preserve">for </w:t>
      </w:r>
      <w:r w:rsidRPr="0018368C">
        <w:t>α</w:t>
      </w:r>
      <w:r w:rsidRPr="00364417">
        <w:t>-glucosidase</w:t>
      </w:r>
      <w:r>
        <w:rPr>
          <w:lang w:val="en-CA" w:eastAsia="en-CA"/>
        </w:rPr>
        <w:t xml:space="preserve"> and </w:t>
      </w:r>
      <w:r w:rsidRPr="00E71F70">
        <w:rPr>
          <w:i/>
          <w:iCs/>
        </w:rPr>
        <w:t>D</w:t>
      </w:r>
      <w:r w:rsidRPr="00E71F70">
        <w:t>-</w:t>
      </w:r>
      <w:r>
        <w:t>s</w:t>
      </w:r>
      <w:r w:rsidRPr="00E71F70">
        <w:t>accharic acid 1,4-lactone monohydrate</w:t>
      </w:r>
      <w:r>
        <w:t xml:space="preserve"> </w:t>
      </w:r>
      <w:r>
        <w:rPr>
          <w:lang w:val="en-CA" w:eastAsia="en-CA"/>
        </w:rPr>
        <w:t>with % inhibitory activity</w:t>
      </w:r>
      <w:r w:rsidRPr="00D72568">
        <w:t xml:space="preserve"> =</w:t>
      </w:r>
      <w:r>
        <w:t xml:space="preserve"> 53.42  for </w:t>
      </w:r>
      <w:r w:rsidRPr="00364417">
        <w:t>β-glucosidase</w:t>
      </w:r>
      <w:r>
        <w:t xml:space="preserve">) and also showed good </w:t>
      </w:r>
      <w:r w:rsidRPr="00CF3FB0">
        <w:t>PPAR-γ activation</w:t>
      </w:r>
      <w:r>
        <w:t xml:space="preserve"> and good hypoglycemic effect in comparison to </w:t>
      </w:r>
      <w:r w:rsidRPr="008A6B5A">
        <w:t>pioglitazone</w:t>
      </w:r>
      <w:r>
        <w:t xml:space="preserve"> and rosiglitazone. Moreover, </w:t>
      </w:r>
      <w:r w:rsidRPr="00185EE3">
        <w:t>Shape comparison and docking studies were carried out to understand their interaction and similarity with standard drugs.</w:t>
      </w:r>
      <w:r w:rsidRPr="002E418A">
        <w:rPr>
          <w:color w:val="FF0000"/>
        </w:rPr>
        <w:t xml:space="preserve"> </w:t>
      </w:r>
    </w:p>
    <w:p w:rsidR="00F22FA2" w:rsidRDefault="00F22FA2" w:rsidP="00103257">
      <w:pPr>
        <w:rPr>
          <w:lang w:bidi="ar-EG"/>
        </w:rPr>
      </w:pPr>
    </w:p>
    <w:sectPr w:rsidR="00F22FA2" w:rsidSect="00C44A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03257"/>
    <w:rsid w:val="00103257"/>
    <w:rsid w:val="002A3A5C"/>
    <w:rsid w:val="00640F03"/>
    <w:rsid w:val="00C44A0D"/>
    <w:rsid w:val="00F2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</dc:creator>
  <cp:lastModifiedBy>M-S</cp:lastModifiedBy>
  <cp:revision>2</cp:revision>
  <dcterms:created xsi:type="dcterms:W3CDTF">2019-01-03T03:38:00Z</dcterms:created>
  <dcterms:modified xsi:type="dcterms:W3CDTF">2019-01-03T03:38:00Z</dcterms:modified>
</cp:coreProperties>
</file>